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>Francisco Potenciano Moreno, en qualitat de Director economicoadministratiu de PALAU DELS ARTS “REINA SOFIA”, FUNDACIÓ DE LA COMUNITAT VALENCIANA, amb domicili a València, Av. Professor López Piñero,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CD18CA" w:rsidRPr="00C52858" w:rsidRDefault="00CD18CA" w:rsidP="00CD18C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D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’acord amb l’article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9.4 b), de la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Llei 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2/2015, de 2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d’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abril, de la Generalitat, de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Transparència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, B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on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Govern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i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Participació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Ciutadana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de la Comunitat Valenciana,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es van rebre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els següents obsequis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:</w:t>
      </w:r>
    </w:p>
    <w:p w:rsidR="00CD18CA" w:rsidRPr="00C52858" w:rsidRDefault="00CD18CA" w:rsidP="00CD18CA">
      <w:pPr>
        <w:spacing w:before="120" w:after="0"/>
        <w:jc w:val="both"/>
        <w:rPr>
          <w:rFonts w:ascii="Tahoma" w:hAnsi="Tahoma" w:cs="Tahoma"/>
          <w:lang w:val="ca-ES-valencia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CD18CA" w:rsidRPr="00C52858" w:rsidTr="00E16F27">
        <w:tc>
          <w:tcPr>
            <w:tcW w:w="1140" w:type="dxa"/>
            <w:vMerge w:val="restart"/>
          </w:tcPr>
          <w:p w:rsidR="00CD18CA" w:rsidRPr="00C52858" w:rsidRDefault="00C52858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Novembre</w:t>
            </w:r>
            <w:r w:rsidR="00CD18CA"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2017</w:t>
            </w:r>
          </w:p>
        </w:tc>
        <w:tc>
          <w:tcPr>
            <w:tcW w:w="3351" w:type="dxa"/>
          </w:tcPr>
          <w:p w:rsidR="00CD18CA" w:rsidRPr="00C52858" w:rsidRDefault="00CD18CA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Obsequi</w:t>
            </w:r>
          </w:p>
        </w:tc>
        <w:tc>
          <w:tcPr>
            <w:tcW w:w="4482" w:type="dxa"/>
          </w:tcPr>
          <w:p w:rsidR="00CD18CA" w:rsidRPr="00C52858" w:rsidRDefault="00CD18CA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Murcia i Cambra, M. A. (2017): </w:t>
            </w:r>
            <w:r w:rsidRPr="00C52858">
              <w:rPr>
                <w:rFonts w:ascii="Tahoma" w:hAnsi="Tahoma" w:cs="Tahoma"/>
                <w:b w:val="0"/>
                <w:i/>
                <w:sz w:val="18"/>
                <w:szCs w:val="18"/>
                <w:lang w:val="ca-ES-valencia"/>
              </w:rPr>
              <w:t xml:space="preserve">Josep Melcior Gomis i la canço lírica de saló: una aportació valenciana al primer romanticisme musical europeu. 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Compendio Musicae, Institució Alfons el Magnànim, Centre Valencià d’estudis i d’investigació.</w:t>
            </w:r>
          </w:p>
        </w:tc>
      </w:tr>
      <w:tr w:rsidR="00CD18CA" w:rsidRPr="00C52858" w:rsidTr="00E16F27">
        <w:tc>
          <w:tcPr>
            <w:tcW w:w="1140" w:type="dxa"/>
            <w:vMerge/>
          </w:tcPr>
          <w:p w:rsidR="00CD18CA" w:rsidRPr="00C52858" w:rsidRDefault="00CD18CA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D18CA" w:rsidRPr="00C52858" w:rsidRDefault="00C52858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Entitat</w:t>
            </w:r>
            <w:r w:rsidR="00CD18CA"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/Persona que 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fa l’obsequi</w:t>
            </w:r>
          </w:p>
        </w:tc>
        <w:tc>
          <w:tcPr>
            <w:tcW w:w="4482" w:type="dxa"/>
          </w:tcPr>
          <w:p w:rsidR="00CD18CA" w:rsidRPr="00C52858" w:rsidRDefault="00C52858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Diputació</w:t>
            </w:r>
            <w:r w:rsidR="00CD18CA"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de Valencia</w:t>
            </w:r>
          </w:p>
        </w:tc>
      </w:tr>
      <w:tr w:rsidR="00CD18CA" w:rsidRPr="00C52858" w:rsidTr="00E16F27">
        <w:tc>
          <w:tcPr>
            <w:tcW w:w="1140" w:type="dxa"/>
            <w:vMerge/>
          </w:tcPr>
          <w:p w:rsidR="00CD18CA" w:rsidRPr="00C52858" w:rsidRDefault="00CD18CA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D18CA" w:rsidRPr="00C52858" w:rsidRDefault="00C52858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Destinatari</w:t>
            </w:r>
            <w:r w:rsidR="00CD18CA"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de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l’obsequi</w:t>
            </w:r>
          </w:p>
        </w:tc>
        <w:tc>
          <w:tcPr>
            <w:tcW w:w="4482" w:type="dxa"/>
          </w:tcPr>
          <w:p w:rsidR="00CD18CA" w:rsidRPr="00C52858" w:rsidRDefault="00CD18CA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Francisco Potenciano Moreno</w:t>
            </w:r>
          </w:p>
        </w:tc>
      </w:tr>
      <w:tr w:rsidR="00CD18CA" w:rsidRPr="00C52858" w:rsidTr="00E16F27">
        <w:tc>
          <w:tcPr>
            <w:tcW w:w="1140" w:type="dxa"/>
            <w:vMerge/>
          </w:tcPr>
          <w:p w:rsidR="00CD18CA" w:rsidRPr="00C52858" w:rsidRDefault="00CD18CA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D18CA" w:rsidRPr="00C52858" w:rsidRDefault="00C52858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Destinació</w:t>
            </w:r>
          </w:p>
        </w:tc>
        <w:tc>
          <w:tcPr>
            <w:tcW w:w="4482" w:type="dxa"/>
          </w:tcPr>
          <w:p w:rsidR="00CD18CA" w:rsidRPr="00C52858" w:rsidRDefault="00C52858" w:rsidP="00E16F2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Despatx</w:t>
            </w:r>
            <w:r w:rsidR="00CD18CA"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del Director 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Economicoadministratiu</w:t>
            </w:r>
          </w:p>
        </w:tc>
      </w:tr>
      <w:tr w:rsidR="00C52858" w:rsidRPr="00C52858" w:rsidTr="00CD18CA">
        <w:tc>
          <w:tcPr>
            <w:tcW w:w="1140" w:type="dxa"/>
            <w:vMerge w:val="restart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Novembre 2017</w:t>
            </w: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i/>
                <w:sz w:val="18"/>
                <w:szCs w:val="18"/>
                <w:lang w:val="ca-ES-valencia"/>
              </w:rPr>
              <w:t>Llibre blanc de les infraestructures i el finançament territorial de l’euroregió de l’arc mediterrani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(2016). Institut d’Economia i Empresa Ignasi Villalonga.</w:t>
            </w:r>
          </w:p>
        </w:tc>
      </w:tr>
      <w:tr w:rsidR="00C52858" w:rsidRPr="00C52858" w:rsidTr="00CD18C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Entitat/Persona que fa l’obsequi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Diputació de Valencia</w:t>
            </w:r>
          </w:p>
        </w:tc>
      </w:tr>
      <w:tr w:rsidR="00C52858" w:rsidRPr="00C52858" w:rsidTr="00CD18C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Destinatari de l’obsequi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Francisco Potenciano Moreno</w:t>
            </w:r>
          </w:p>
        </w:tc>
      </w:tr>
      <w:tr w:rsidR="00C52858" w:rsidRPr="00C52858" w:rsidTr="00CD18C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Destinació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Despatx del Director Economicoadministratiu</w:t>
            </w:r>
          </w:p>
        </w:tc>
      </w:tr>
      <w:tr w:rsidR="00C52858" w:rsidRPr="00C52858" w:rsidTr="00CD18CA">
        <w:tc>
          <w:tcPr>
            <w:tcW w:w="1140" w:type="dxa"/>
            <w:vMerge w:val="restart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Novembre 2017</w:t>
            </w: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Catàleg </w:t>
            </w:r>
            <w:r w:rsidRPr="00C52858">
              <w:rPr>
                <w:rFonts w:ascii="Tahoma" w:hAnsi="Tahoma" w:cs="Tahoma"/>
                <w:b w:val="0"/>
                <w:i/>
                <w:sz w:val="18"/>
                <w:szCs w:val="18"/>
                <w:lang w:val="ca-ES-valencia"/>
              </w:rPr>
              <w:t xml:space="preserve">Messa: palpitacions i art gandul 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(2016).  MUVIM.</w:t>
            </w:r>
          </w:p>
        </w:tc>
      </w:tr>
      <w:tr w:rsidR="00C52858" w:rsidRPr="00C52858" w:rsidTr="00CD18C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Entitat/Persona que fa l’obsequi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Diputación de Valencia</w:t>
            </w:r>
          </w:p>
        </w:tc>
      </w:tr>
      <w:tr w:rsidR="00C52858" w:rsidRPr="00C52858" w:rsidTr="00CD18C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Destinatari de l’obsequi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Francisco Potenciano Moreno</w:t>
            </w:r>
          </w:p>
        </w:tc>
      </w:tr>
      <w:tr w:rsidR="00C52858" w:rsidRPr="00C52858" w:rsidTr="00CD18C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Destinació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Despatx del Director Economicoadministratiu</w:t>
            </w:r>
          </w:p>
        </w:tc>
      </w:tr>
      <w:tr w:rsidR="00C52858" w:rsidRPr="00C52858" w:rsidTr="0036157A">
        <w:tc>
          <w:tcPr>
            <w:tcW w:w="1140" w:type="dxa"/>
            <w:vMerge w:val="restart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Novembre 2017</w:t>
            </w: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Ayuntamiento de Málaga (2012):</w:t>
            </w:r>
            <w:r w:rsidRPr="00C52858">
              <w:rPr>
                <w:rFonts w:ascii="Tahoma" w:hAnsi="Tahoma" w:cs="Tahoma"/>
                <w:b w:val="0"/>
                <w:i/>
                <w:sz w:val="18"/>
                <w:szCs w:val="18"/>
                <w:lang w:val="ca-ES-valencia"/>
              </w:rPr>
              <w:t xml:space="preserve"> Veinticinco años de escena: Teatro Cervantes de Málaga (1987-2012). </w:t>
            </w: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Diputación de Málaga, Centro de Ediciones.</w:t>
            </w:r>
          </w:p>
        </w:tc>
      </w:tr>
      <w:tr w:rsidR="00C52858" w:rsidRPr="00C52858" w:rsidTr="0036157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Entitat/Persona que fa l’obsequi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Teatro Cervantes</w:t>
            </w:r>
          </w:p>
        </w:tc>
      </w:tr>
      <w:tr w:rsidR="00C52858" w:rsidRPr="00C52858" w:rsidTr="0036157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Destinatari de l’obsequi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Francisco Potenciano Moreno</w:t>
            </w:r>
          </w:p>
        </w:tc>
      </w:tr>
      <w:tr w:rsidR="00C52858" w:rsidRPr="00C52858" w:rsidTr="0036157A">
        <w:tc>
          <w:tcPr>
            <w:tcW w:w="1140" w:type="dxa"/>
            <w:vMerge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Destinació</w:t>
            </w:r>
          </w:p>
        </w:tc>
        <w:tc>
          <w:tcPr>
            <w:tcW w:w="4482" w:type="dxa"/>
          </w:tcPr>
          <w:p w:rsidR="00C52858" w:rsidRPr="00C52858" w:rsidRDefault="00C52858" w:rsidP="00C5285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Despatx del Director Economicoadministratiu</w:t>
            </w:r>
          </w:p>
        </w:tc>
      </w:tr>
    </w:tbl>
    <w:p w:rsidR="00CD18CA" w:rsidRPr="00C52858" w:rsidRDefault="00CD18CA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bookmarkStart w:id="0" w:name="_GoBack"/>
      <w:bookmarkEnd w:id="0"/>
    </w:p>
    <w:p w:rsidR="00AA00E1" w:rsidRPr="00C52858" w:rsidRDefault="00C52858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I perquè conste als efectes oportuns, s’expedix la present certificació a València</w:t>
      </w:r>
      <w:r w:rsidR="00AA00E1" w:rsidRPr="00C52858">
        <w:rPr>
          <w:rFonts w:ascii="Tahoma" w:hAnsi="Tahoma" w:cs="Tahoma"/>
          <w:lang w:val="ca-ES-valencia"/>
        </w:rPr>
        <w:t xml:space="preserve"> </w:t>
      </w:r>
      <w:r w:rsidR="00E6716A" w:rsidRPr="00C52858">
        <w:rPr>
          <w:rFonts w:ascii="Tahoma" w:hAnsi="Tahoma" w:cs="Tahoma"/>
          <w:lang w:val="ca-ES-valencia"/>
        </w:rPr>
        <w:t>a</w:t>
      </w:r>
      <w:r w:rsidR="00CD18CA" w:rsidRPr="00C52858">
        <w:rPr>
          <w:rFonts w:ascii="Tahoma" w:hAnsi="Tahoma" w:cs="Tahoma"/>
          <w:lang w:val="ca-ES-valencia"/>
        </w:rPr>
        <w:t xml:space="preserve"> 1</w:t>
      </w:r>
      <w:r w:rsidR="00317DFC" w:rsidRPr="00C52858">
        <w:rPr>
          <w:rFonts w:ascii="Tahoma" w:hAnsi="Tahoma" w:cs="Tahoma"/>
          <w:lang w:val="ca-ES-valencia"/>
        </w:rPr>
        <w:t xml:space="preserve"> de </w:t>
      </w:r>
      <w:r w:rsidRPr="00C52858">
        <w:rPr>
          <w:rFonts w:ascii="Tahoma" w:hAnsi="Tahoma" w:cs="Tahoma"/>
          <w:lang w:val="ca-ES-valencia"/>
        </w:rPr>
        <w:t>desembre</w:t>
      </w:r>
      <w:r w:rsidR="00317DFC" w:rsidRPr="00C52858">
        <w:rPr>
          <w:rFonts w:ascii="Tahoma" w:hAnsi="Tahoma" w:cs="Tahoma"/>
          <w:lang w:val="ca-ES-valencia"/>
        </w:rPr>
        <w:t xml:space="preserve"> de</w:t>
      </w:r>
      <w:r w:rsidR="002761A2" w:rsidRPr="00C52858">
        <w:rPr>
          <w:rFonts w:ascii="Tahoma" w:hAnsi="Tahoma" w:cs="Tahoma"/>
          <w:lang w:val="ca-ES-valencia"/>
        </w:rPr>
        <w:t xml:space="preserve"> 2017</w:t>
      </w:r>
    </w:p>
    <w:sectPr w:rsidR="00AA00E1" w:rsidRPr="00C52858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E44" w:rsidRDefault="00490E44" w:rsidP="00AA00E1">
      <w:pPr>
        <w:spacing w:after="0" w:line="240" w:lineRule="auto"/>
      </w:pPr>
      <w:r>
        <w:separator/>
      </w:r>
    </w:p>
  </w:endnote>
  <w:endnote w:type="continuationSeparator" w:id="0">
    <w:p w:rsidR="00490E44" w:rsidRDefault="00490E44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2858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E44" w:rsidRDefault="00490E44" w:rsidP="00AA00E1">
      <w:pPr>
        <w:spacing w:after="0" w:line="240" w:lineRule="auto"/>
      </w:pPr>
      <w:r>
        <w:separator/>
      </w:r>
    </w:p>
  </w:footnote>
  <w:footnote w:type="continuationSeparator" w:id="0">
    <w:p w:rsidR="00490E44" w:rsidRDefault="00490E44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455D8"/>
    <w:rsid w:val="001008CE"/>
    <w:rsid w:val="001719E3"/>
    <w:rsid w:val="001E2E19"/>
    <w:rsid w:val="001F6CE6"/>
    <w:rsid w:val="00245710"/>
    <w:rsid w:val="00261BAF"/>
    <w:rsid w:val="002761A2"/>
    <w:rsid w:val="00276E5B"/>
    <w:rsid w:val="002B6EE6"/>
    <w:rsid w:val="00301BA4"/>
    <w:rsid w:val="00317DFC"/>
    <w:rsid w:val="0033622C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6166D3"/>
    <w:rsid w:val="006219D9"/>
    <w:rsid w:val="00693B59"/>
    <w:rsid w:val="006A6A02"/>
    <w:rsid w:val="006C019D"/>
    <w:rsid w:val="006C3717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2858"/>
    <w:rsid w:val="00C53161"/>
    <w:rsid w:val="00C85BEA"/>
    <w:rsid w:val="00CD18CA"/>
    <w:rsid w:val="00CE6FE4"/>
    <w:rsid w:val="00D475E5"/>
    <w:rsid w:val="00D47CD1"/>
    <w:rsid w:val="00D87A27"/>
    <w:rsid w:val="00D93DF8"/>
    <w:rsid w:val="00D97BB9"/>
    <w:rsid w:val="00E238A4"/>
    <w:rsid w:val="00E57029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23FC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D51B-2716-4A33-A848-EBD8A847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27</cp:revision>
  <cp:lastPrinted>2017-12-04T12:31:00Z</cp:lastPrinted>
  <dcterms:created xsi:type="dcterms:W3CDTF">2015-12-10T09:31:00Z</dcterms:created>
  <dcterms:modified xsi:type="dcterms:W3CDTF">2017-12-04T12:38:00Z</dcterms:modified>
</cp:coreProperties>
</file>